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comgrade"/>
        <w:tblW w:w="9782" w:type="dxa"/>
        <w:tblInd w:w="-289" w:type="dxa"/>
        <w:tblLook w:val="04A0" w:firstRow="1" w:lastRow="0" w:firstColumn="1" w:lastColumn="0" w:noHBand="0" w:noVBand="1"/>
      </w:tblPr>
      <w:tblGrid>
        <w:gridCol w:w="9782"/>
      </w:tblGrid>
      <w:tr w:rsidR="002D49D4" w14:paraId="1898E39A" w14:textId="77777777" w:rsidTr="008F1BEE">
        <w:tc>
          <w:tcPr>
            <w:tcW w:w="9782" w:type="dxa"/>
            <w:shd w:val="clear" w:color="auto" w:fill="C5E0B3" w:themeFill="accent6" w:themeFillTint="66"/>
          </w:tcPr>
          <w:p w14:paraId="08BEBE58" w14:textId="77777777" w:rsidR="002D49D4" w:rsidRPr="006368CE" w:rsidRDefault="002D49D4" w:rsidP="008F1BEE">
            <w:pPr>
              <w:spacing w:line="276" w:lineRule="auto"/>
              <w:jc w:val="center"/>
              <w:rPr>
                <w:rFonts w:cs="Arial"/>
                <w:b/>
                <w:bCs/>
                <w:color w:val="000000"/>
                <w:sz w:val="22"/>
                <w:szCs w:val="22"/>
              </w:rPr>
            </w:pPr>
            <w:bookmarkStart w:id="0" w:name="_Hlk167293144"/>
            <w:r w:rsidRPr="006368CE">
              <w:rPr>
                <w:rFonts w:cs="Arial"/>
                <w:b/>
                <w:bCs/>
                <w:color w:val="000000"/>
                <w:sz w:val="22"/>
                <w:szCs w:val="22"/>
              </w:rPr>
              <w:t>ANEXO I</w:t>
            </w:r>
          </w:p>
        </w:tc>
      </w:tr>
    </w:tbl>
    <w:p w14:paraId="3C60562D" w14:textId="77777777" w:rsidR="002D49D4" w:rsidRDefault="002D49D4" w:rsidP="002D49D4">
      <w:pPr>
        <w:spacing w:before="120" w:after="120" w:line="276" w:lineRule="auto"/>
        <w:jc w:val="center"/>
        <w:rPr>
          <w:b/>
          <w:bCs/>
          <w:sz w:val="22"/>
          <w:szCs w:val="22"/>
        </w:rPr>
      </w:pPr>
      <w:r w:rsidRPr="006368CE">
        <w:rPr>
          <w:b/>
          <w:bCs/>
          <w:sz w:val="22"/>
          <w:szCs w:val="22"/>
        </w:rPr>
        <w:t>DOCUMENTAÇÃO EXIGIDA PARA HABILITAÇÃO</w:t>
      </w:r>
    </w:p>
    <w:tbl>
      <w:tblPr>
        <w:tblStyle w:val="Tabelacomgrade"/>
        <w:tblW w:w="9782" w:type="dxa"/>
        <w:tblInd w:w="-289" w:type="dxa"/>
        <w:tblLook w:val="04A0" w:firstRow="1" w:lastRow="0" w:firstColumn="1" w:lastColumn="0" w:noHBand="0" w:noVBand="1"/>
      </w:tblPr>
      <w:tblGrid>
        <w:gridCol w:w="9782"/>
      </w:tblGrid>
      <w:tr w:rsidR="002D49D4" w14:paraId="07406B04" w14:textId="77777777" w:rsidTr="008F1BEE">
        <w:tc>
          <w:tcPr>
            <w:tcW w:w="9782" w:type="dxa"/>
            <w:shd w:val="clear" w:color="auto" w:fill="FBE4D5" w:themeFill="accent2" w:themeFillTint="33"/>
          </w:tcPr>
          <w:p w14:paraId="56D6BDE9" w14:textId="77777777" w:rsidR="002D49D4" w:rsidRPr="003C2357" w:rsidRDefault="002D49D4" w:rsidP="008F1BEE">
            <w:pPr>
              <w:pStyle w:val="PargrafodaLista"/>
              <w:numPr>
                <w:ilvl w:val="0"/>
                <w:numId w:val="2"/>
              </w:numPr>
              <w:ind w:left="316"/>
              <w:rPr>
                <w:b/>
                <w:bCs/>
                <w:sz w:val="22"/>
                <w:szCs w:val="22"/>
              </w:rPr>
            </w:pPr>
            <w:r w:rsidRPr="003C2357">
              <w:rPr>
                <w:b/>
                <w:bCs/>
                <w:sz w:val="22"/>
                <w:szCs w:val="22"/>
              </w:rPr>
              <w:t>HABILITAÇÃO JURÍDICA</w:t>
            </w:r>
          </w:p>
        </w:tc>
      </w:tr>
    </w:tbl>
    <w:p w14:paraId="4D5623FC" w14:textId="77777777" w:rsidR="002D49D4" w:rsidRPr="00E553E4" w:rsidRDefault="002D49D4" w:rsidP="002D49D4">
      <w:pPr>
        <w:pStyle w:val="PargrafodaLista"/>
        <w:numPr>
          <w:ilvl w:val="1"/>
          <w:numId w:val="1"/>
        </w:numPr>
        <w:spacing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14:paraId="7CAF68D7" w14:textId="77777777" w:rsidR="002D49D4" w:rsidRDefault="002D49D4" w:rsidP="002D49D4">
      <w:pPr>
        <w:pStyle w:val="PargrafodaLista"/>
        <w:numPr>
          <w:ilvl w:val="1"/>
          <w:numId w:val="1"/>
        </w:numPr>
        <w:spacing w:before="120" w:after="120" w:line="276" w:lineRule="auto"/>
        <w:ind w:left="-284" w:right="-994" w:firstLine="0"/>
        <w:jc w:val="both"/>
        <w:rPr>
          <w:rFonts w:cs="Arial"/>
          <w:b/>
          <w:bCs/>
          <w:color w:val="000000" w:themeColor="text1"/>
          <w:sz w:val="22"/>
          <w:szCs w:val="22"/>
        </w:rPr>
      </w:pPr>
      <w:r w:rsidRPr="00E553E4">
        <w:rPr>
          <w:rFonts w:cs="Arial"/>
          <w:b/>
          <w:bCs/>
          <w:color w:val="000000" w:themeColor="text1"/>
          <w:sz w:val="22"/>
          <w:szCs w:val="22"/>
        </w:rPr>
        <w:t>SICAF</w:t>
      </w:r>
      <w:r w:rsidRPr="00E553E4">
        <w:rPr>
          <w:rFonts w:cs="Arial"/>
          <w:color w:val="000000" w:themeColor="text1"/>
          <w:sz w:val="22"/>
          <w:szCs w:val="22"/>
        </w:rPr>
        <w:t xml:space="preserve"> </w:t>
      </w:r>
      <w:r>
        <w:rPr>
          <w:rFonts w:cs="Arial"/>
          <w:color w:val="000000" w:themeColor="text1"/>
          <w:sz w:val="22"/>
          <w:szCs w:val="22"/>
        </w:rPr>
        <w:t xml:space="preserve">- </w:t>
      </w:r>
      <w:r w:rsidRPr="00342D42">
        <w:rPr>
          <w:rFonts w:cs="Arial"/>
          <w:b/>
          <w:bCs/>
          <w:color w:val="000000" w:themeColor="text1"/>
          <w:sz w:val="22"/>
          <w:szCs w:val="22"/>
        </w:rPr>
        <w:t>nos documentos por ele abrangidos;</w:t>
      </w:r>
    </w:p>
    <w:p w14:paraId="7055E854"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342D42">
        <w:rPr>
          <w:rFonts w:cs="Arial"/>
          <w:color w:val="000000" w:themeColor="text1"/>
          <w:sz w:val="22"/>
          <w:szCs w:val="22"/>
        </w:rPr>
        <w:t>Registro comercial, no caso de empresa individual;</w:t>
      </w:r>
    </w:p>
    <w:p w14:paraId="2ABED1D5"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Ato constitutivo, Estatuto ou Contrato Social e todas as alterações, no caso de empresa Ltda., ou Estatuto, no caso de sociedade por ações, acompanhado de documento de eleição de seus administradores, ou Ato Constitutivo; ou</w:t>
      </w:r>
    </w:p>
    <w:p w14:paraId="7584A0D5"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Inscrição do ato constitutivo, no caso de sociedades civis, acompanhada de ato formal de designação de diretoria em exercício; ou</w:t>
      </w:r>
    </w:p>
    <w:p w14:paraId="7C1AFE04"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Decreto de autorização, em se tratando de empresa ou sociedade estrangeira em funcionamento no País.</w:t>
      </w:r>
    </w:p>
    <w:p w14:paraId="328FDC5C"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Procuração do representante do licitante no pregão, se for o caso.</w:t>
      </w:r>
    </w:p>
    <w:p w14:paraId="54058778"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a última alteração do contrato social traga consolidação do contrato social basta apresentação deste em substituição ao contrato social e todas as alterações.</w:t>
      </w:r>
    </w:p>
    <w:p w14:paraId="732ADC75"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Inscrição no Cadastro Municipal ou Alvará de Funcionamento (devidamente carimbados e assinados, caso não tenha autenticação eletrônica) da sede do licitante.</w:t>
      </w:r>
    </w:p>
    <w:p w14:paraId="4E587ADA" w14:textId="77777777" w:rsidR="002D49D4" w:rsidRPr="00CF2F20" w:rsidRDefault="002D49D4" w:rsidP="002D49D4">
      <w:pPr>
        <w:pStyle w:val="PargrafodaLista"/>
        <w:numPr>
          <w:ilvl w:val="1"/>
          <w:numId w:val="1"/>
        </w:numPr>
        <w:tabs>
          <w:tab w:val="left" w:pos="0"/>
        </w:tabs>
        <w:autoSpaceDE w:val="0"/>
        <w:snapToGrid w:val="0"/>
        <w:spacing w:before="120" w:after="120" w:line="276" w:lineRule="auto"/>
        <w:ind w:left="-284" w:right="-994" w:firstLine="0"/>
        <w:jc w:val="both"/>
        <w:rPr>
          <w:rFonts w:cs="Arial"/>
          <w:sz w:val="22"/>
          <w:szCs w:val="22"/>
        </w:rPr>
      </w:pPr>
      <w:r w:rsidRPr="00CF2F20">
        <w:rPr>
          <w:rFonts w:cs="Arial"/>
          <w:color w:val="000000" w:themeColor="text1"/>
          <w:sz w:val="22"/>
          <w:szCs w:val="22"/>
        </w:rPr>
        <w:t>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36DCAE6"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Cadastro Nacional de Empresas Inidôneas e Suspensas – CEIS</w:t>
      </w:r>
      <w:r w:rsidRPr="00E553E4">
        <w:rPr>
          <w:rFonts w:cs="Arial"/>
          <w:color w:val="000000" w:themeColor="text1"/>
          <w:sz w:val="22"/>
          <w:szCs w:val="22"/>
        </w:rPr>
        <w:t xml:space="preserve">, mantido pela Controladoria-Geral da União </w:t>
      </w:r>
      <w:r w:rsidRPr="00042DEF">
        <w:rPr>
          <w:rFonts w:cs="Arial"/>
          <w:color w:val="0000FF"/>
          <w:sz w:val="22"/>
          <w:szCs w:val="22"/>
          <w:u w:val="single"/>
        </w:rPr>
        <w:t>(</w:t>
      </w:r>
      <w:r w:rsidRPr="00042DEF">
        <w:rPr>
          <w:color w:val="0000FF"/>
          <w:sz w:val="22"/>
          <w:szCs w:val="22"/>
          <w:u w:val="single"/>
        </w:rPr>
        <w:t>https://certidoes.cgu.gov.br/</w:t>
      </w:r>
      <w:r w:rsidRPr="00042DEF">
        <w:rPr>
          <w:rFonts w:cs="Arial"/>
          <w:color w:val="0000FF"/>
          <w:sz w:val="22"/>
          <w:szCs w:val="22"/>
          <w:u w:val="single"/>
        </w:rPr>
        <w:t>);</w:t>
      </w:r>
    </w:p>
    <w:p w14:paraId="160D9AE5"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Cadastro Nacional de Condenações Cíveis por Atos de Improbidade Administrativa</w:t>
      </w:r>
      <w:r w:rsidRPr="00E553E4">
        <w:rPr>
          <w:rFonts w:cs="Arial"/>
          <w:color w:val="000000" w:themeColor="text1"/>
          <w:sz w:val="22"/>
          <w:szCs w:val="22"/>
        </w:rPr>
        <w:t xml:space="preserve">, mantido pelo Conselho Nacional de Justiça </w:t>
      </w:r>
      <w:r w:rsidRPr="00E553E4">
        <w:rPr>
          <w:rFonts w:cs="Arial"/>
          <w:sz w:val="22"/>
          <w:szCs w:val="22"/>
        </w:rPr>
        <w:t>(</w:t>
      </w:r>
      <w:hyperlink r:id="rId7" w:history="1">
        <w:r w:rsidRPr="00ED51AD">
          <w:rPr>
            <w:rStyle w:val="Hyperlink"/>
            <w:rFonts w:cs="Arial"/>
            <w:color w:val="0000FF"/>
            <w:sz w:val="22"/>
            <w:szCs w:val="22"/>
          </w:rPr>
          <w:t>www.cnj.jus.br/improbidade_adm/consultar_requerido.php</w:t>
        </w:r>
      </w:hyperlink>
      <w:r w:rsidRPr="00E553E4">
        <w:rPr>
          <w:rFonts w:cs="Arial"/>
          <w:sz w:val="22"/>
          <w:szCs w:val="22"/>
        </w:rPr>
        <w:t>);</w:t>
      </w:r>
    </w:p>
    <w:p w14:paraId="22FC05A8" w14:textId="77777777" w:rsidR="002D49D4" w:rsidRPr="00042DEF"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Lista de Inidôneos mantida pelo Tribunal de Contas da União – TCU</w:t>
      </w:r>
      <w:r>
        <w:rPr>
          <w:rFonts w:cs="Arial"/>
          <w:b/>
          <w:bCs/>
          <w:color w:val="000000" w:themeColor="text1"/>
          <w:sz w:val="22"/>
          <w:szCs w:val="22"/>
        </w:rPr>
        <w:t xml:space="preserve"> </w:t>
      </w:r>
      <w:r w:rsidRPr="00042DEF">
        <w:rPr>
          <w:rFonts w:cs="Arial"/>
          <w:sz w:val="22"/>
          <w:szCs w:val="22"/>
          <w:u w:val="single"/>
        </w:rPr>
        <w:t>(</w:t>
      </w:r>
      <w:hyperlink r:id="rId8" w:history="1">
        <w:r w:rsidRPr="00042DEF">
          <w:rPr>
            <w:rStyle w:val="Hyperlink"/>
            <w:rFonts w:cs="Arial"/>
            <w:color w:val="0000FF"/>
            <w:sz w:val="22"/>
            <w:szCs w:val="22"/>
          </w:rPr>
          <w:t>https://contas.tcu.gov.br/ords/f?p=704144:3:12249879529814::NO:3,4,6</w:t>
        </w:r>
      </w:hyperlink>
      <w:r w:rsidRPr="00042DEF">
        <w:rPr>
          <w:rFonts w:cs="Arial"/>
          <w:color w:val="0000FF"/>
          <w:sz w:val="22"/>
          <w:szCs w:val="22"/>
          <w:u w:val="single"/>
        </w:rPr>
        <w:t>::</w:t>
      </w:r>
      <w:r w:rsidRPr="00042DEF">
        <w:rPr>
          <w:rFonts w:cs="Arial"/>
          <w:sz w:val="22"/>
          <w:szCs w:val="22"/>
          <w:u w:val="single"/>
        </w:rPr>
        <w:t>);</w:t>
      </w:r>
    </w:p>
    <w:p w14:paraId="3971B5EE" w14:textId="77777777" w:rsidR="002D49D4" w:rsidRPr="00042DEF" w:rsidRDefault="002D49D4" w:rsidP="002D49D4">
      <w:pPr>
        <w:pStyle w:val="PargrafodaLista"/>
        <w:numPr>
          <w:ilvl w:val="1"/>
          <w:numId w:val="1"/>
        </w:numPr>
        <w:spacing w:before="120" w:after="120" w:line="276" w:lineRule="auto"/>
        <w:ind w:left="-284" w:right="-994" w:firstLine="0"/>
        <w:jc w:val="both"/>
        <w:rPr>
          <w:rFonts w:cs="Arial"/>
          <w:sz w:val="22"/>
          <w:szCs w:val="22"/>
        </w:rPr>
      </w:pPr>
      <w:r w:rsidRPr="00042DEF">
        <w:rPr>
          <w:rFonts w:cs="Arial"/>
          <w:b/>
          <w:bCs/>
          <w:sz w:val="22"/>
          <w:szCs w:val="22"/>
        </w:rPr>
        <w:t>Consultar restrições ao direito de contratar</w:t>
      </w:r>
      <w:r w:rsidRPr="00042DEF">
        <w:rPr>
          <w:rFonts w:cs="Arial"/>
          <w:sz w:val="22"/>
          <w:szCs w:val="22"/>
        </w:rPr>
        <w:t xml:space="preserve"> com a Administração Pública</w:t>
      </w:r>
      <w:r>
        <w:rPr>
          <w:rFonts w:cs="Arial"/>
          <w:sz w:val="22"/>
          <w:szCs w:val="22"/>
        </w:rPr>
        <w:t xml:space="preserve"> (</w:t>
      </w:r>
      <w:r w:rsidRPr="00042DEF">
        <w:rPr>
          <w:rFonts w:cs="Arial"/>
          <w:color w:val="0000FF"/>
          <w:sz w:val="22"/>
          <w:szCs w:val="22"/>
          <w:u w:val="single"/>
        </w:rPr>
        <w:t>https://crcap.tce.pr.gov.br/ConsultarImpedidos.aspx</w:t>
      </w:r>
      <w:r>
        <w:rPr>
          <w:rFonts w:cs="Arial"/>
          <w:sz w:val="22"/>
          <w:szCs w:val="22"/>
        </w:rPr>
        <w:t>);</w:t>
      </w:r>
    </w:p>
    <w:p w14:paraId="5A5D3244"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consulta aos cadastros será realizada em nome da empresa fornecedores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Pr>
          <w:rFonts w:cs="Arial"/>
          <w:color w:val="000000" w:themeColor="text1"/>
          <w:sz w:val="22"/>
          <w:szCs w:val="22"/>
        </w:rPr>
        <w:t>;</w:t>
      </w:r>
    </w:p>
    <w:p w14:paraId="445E4D7E"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r>
        <w:rPr>
          <w:rFonts w:cs="Arial"/>
          <w:color w:val="000000" w:themeColor="text1"/>
          <w:sz w:val="22"/>
          <w:szCs w:val="22"/>
        </w:rPr>
        <w:t>;</w:t>
      </w:r>
    </w:p>
    <w:p w14:paraId="70CFBF1A"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A tentativa de burla será verificada por meio dos vínculos societários, linhas de fornecimento similares, dentre outros</w:t>
      </w:r>
      <w:r>
        <w:rPr>
          <w:rFonts w:cs="Arial"/>
          <w:color w:val="000000" w:themeColor="text1"/>
          <w:sz w:val="22"/>
          <w:szCs w:val="22"/>
        </w:rPr>
        <w:t>;</w:t>
      </w:r>
    </w:p>
    <w:p w14:paraId="6CE32A99"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lastRenderedPageBreak/>
        <w:t>O fornecedor será convocado para manifestação previamente à sua desclassificação</w:t>
      </w:r>
      <w:r>
        <w:rPr>
          <w:rFonts w:cs="Arial"/>
          <w:color w:val="000000" w:themeColor="text1"/>
          <w:sz w:val="22"/>
          <w:szCs w:val="22"/>
        </w:rPr>
        <w:t>;</w:t>
      </w:r>
    </w:p>
    <w:p w14:paraId="61E62DFC"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Constatada a existência de sanção, o fornecedor será reputado inabilitado, por falta de condição de participação</w:t>
      </w:r>
      <w:r>
        <w:rPr>
          <w:rFonts w:cs="Arial"/>
          <w:color w:val="000000" w:themeColor="text1"/>
          <w:sz w:val="22"/>
          <w:szCs w:val="22"/>
        </w:rPr>
        <w:t>;</w:t>
      </w:r>
    </w:p>
    <w:p w14:paraId="567F06DE"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Caso atendidas as condições de participação, a habilitação dos fornecedores será verificada por meio do SICAF</w:t>
      </w:r>
      <w:r w:rsidRPr="00E553E4">
        <w:rPr>
          <w:rFonts w:cs="Arial"/>
          <w:color w:val="000000" w:themeColor="text1"/>
          <w:sz w:val="22"/>
          <w:szCs w:val="22"/>
        </w:rPr>
        <w:t>, nos documentos por ele abrangidos</w:t>
      </w:r>
      <w:r>
        <w:rPr>
          <w:rFonts w:cs="Arial"/>
          <w:color w:val="000000" w:themeColor="text1"/>
          <w:sz w:val="22"/>
          <w:szCs w:val="22"/>
        </w:rPr>
        <w:t>;</w:t>
      </w:r>
    </w:p>
    <w:p w14:paraId="6237692F"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É dever do fornecedor atualizar previamente as comprovações constantes do SICAF para que estejam vigentes</w:t>
      </w:r>
      <w:r w:rsidRPr="00E553E4">
        <w:rPr>
          <w:rFonts w:cs="Arial"/>
          <w:color w:val="000000" w:themeColor="text1"/>
          <w:sz w:val="22"/>
          <w:szCs w:val="22"/>
        </w:rPr>
        <w:t xml:space="preserve"> na data da abertura da sessão pública, ou encaminhar, quando solicitado, a respectiva documentação atualizada</w:t>
      </w:r>
      <w:r>
        <w:rPr>
          <w:rFonts w:cs="Arial"/>
          <w:color w:val="000000" w:themeColor="text1"/>
          <w:sz w:val="22"/>
          <w:szCs w:val="22"/>
        </w:rPr>
        <w:t>;</w:t>
      </w:r>
    </w:p>
    <w:p w14:paraId="02CB178E"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b/>
          <w:bCs/>
          <w:color w:val="000000" w:themeColor="text1"/>
          <w:sz w:val="22"/>
          <w:szCs w:val="22"/>
        </w:rPr>
        <w:t>O descumprimento do subitem acima implicará a inabilitação do fornecedor</w:t>
      </w:r>
      <w:r w:rsidRPr="00E553E4">
        <w:rPr>
          <w:rFonts w:cs="Arial"/>
          <w:color w:val="000000" w:themeColor="text1"/>
          <w:sz w:val="22"/>
          <w:szCs w:val="22"/>
        </w:rPr>
        <w:t>, exceto se a consulta aos sítios eletrônicos oficiais emissores de certidões lograr êxito em encontrar a(s) certidão(</w:t>
      </w:r>
      <w:proofErr w:type="spellStart"/>
      <w:r w:rsidRPr="00E553E4">
        <w:rPr>
          <w:rFonts w:cs="Arial"/>
          <w:color w:val="000000" w:themeColor="text1"/>
          <w:sz w:val="22"/>
          <w:szCs w:val="22"/>
        </w:rPr>
        <w:t>ões</w:t>
      </w:r>
      <w:proofErr w:type="spellEnd"/>
      <w:r w:rsidRPr="00E553E4">
        <w:rPr>
          <w:rFonts w:cs="Arial"/>
          <w:color w:val="000000" w:themeColor="text1"/>
          <w:sz w:val="22"/>
          <w:szCs w:val="22"/>
        </w:rPr>
        <w:t>) válida(s)</w:t>
      </w:r>
      <w:r>
        <w:rPr>
          <w:rFonts w:cs="Arial"/>
          <w:color w:val="000000" w:themeColor="text1"/>
          <w:sz w:val="22"/>
          <w:szCs w:val="22"/>
        </w:rPr>
        <w:t>;</w:t>
      </w:r>
    </w:p>
    <w:p w14:paraId="44535024"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r>
        <w:rPr>
          <w:rFonts w:cs="Arial"/>
          <w:color w:val="000000" w:themeColor="text1"/>
          <w:sz w:val="22"/>
          <w:szCs w:val="22"/>
        </w:rPr>
        <w:t>;</w:t>
      </w:r>
    </w:p>
    <w:p w14:paraId="4B365FB4"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o licitante efetue o envio de documentos sem a devida organização o Agente de Contratação poderá solicitar o reenvio através do sistema;</w:t>
      </w:r>
    </w:p>
    <w:p w14:paraId="00025915"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Aviso de Dispensa Eletrônica/Edital;</w:t>
      </w:r>
    </w:p>
    <w:p w14:paraId="75202230"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Os documentos deverão ser encaminhados, obrigatoriamente, no ambiente virtual do Compras.gov.br.</w:t>
      </w:r>
    </w:p>
    <w:p w14:paraId="6CCC880B"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r>
        <w:rPr>
          <w:rFonts w:cs="Arial"/>
          <w:color w:val="000000" w:themeColor="text1"/>
          <w:sz w:val="22"/>
          <w:szCs w:val="22"/>
        </w:rPr>
        <w:t>;</w:t>
      </w:r>
    </w:p>
    <w:p w14:paraId="7D8BF851"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r>
        <w:rPr>
          <w:rFonts w:cs="Arial"/>
          <w:color w:val="000000" w:themeColor="text1"/>
          <w:sz w:val="22"/>
          <w:szCs w:val="22"/>
        </w:rPr>
        <w:t>;</w:t>
      </w:r>
    </w:p>
    <w:p w14:paraId="7DC23209"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Havendo necessidade de analisar minuciosamente os documentos exigidos, a sessão será suspensa, sendo informada a nova data e horário para a sua continuidade</w:t>
      </w:r>
      <w:r>
        <w:rPr>
          <w:rFonts w:cs="Arial"/>
          <w:color w:val="000000" w:themeColor="text1"/>
          <w:sz w:val="22"/>
          <w:szCs w:val="22"/>
        </w:rPr>
        <w:t>;</w:t>
      </w:r>
    </w:p>
    <w:p w14:paraId="1E0671CB"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Será inabilitado o fornecedor que não comprovar sua habilitação, seja por não apresentar quaisquer dos documentos exigidos, ou apresenta-los em desacordo com o estabelecido neste Aviso de Contratação Direta</w:t>
      </w:r>
      <w:r>
        <w:rPr>
          <w:rFonts w:cs="Arial"/>
          <w:color w:val="000000" w:themeColor="text1"/>
          <w:sz w:val="22"/>
          <w:szCs w:val="22"/>
        </w:rPr>
        <w:t>;</w:t>
      </w:r>
    </w:p>
    <w:p w14:paraId="78482939" w14:textId="77777777" w:rsidR="002D49D4" w:rsidRPr="00E553E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E553E4">
        <w:rPr>
          <w:rFonts w:cs="Arial"/>
          <w:color w:val="000000" w:themeColor="text1"/>
          <w:sz w:val="22"/>
          <w:szCs w:val="22"/>
        </w:rPr>
        <w:t>Na hipótese de o fornecedor não atender às exigências para a habilitação, o órgão ou entidade examinará a proposta subsequente e assim sucessivamente, na ordem de classificação, até a apuração de uma que atenda às especificações do objeto e as condições de habilitação</w:t>
      </w:r>
      <w:r>
        <w:rPr>
          <w:rFonts w:cs="Arial"/>
          <w:color w:val="000000" w:themeColor="text1"/>
          <w:sz w:val="22"/>
          <w:szCs w:val="22"/>
        </w:rPr>
        <w:t>;</w:t>
      </w:r>
    </w:p>
    <w:p w14:paraId="03625D8E" w14:textId="77777777" w:rsidR="002D49D4" w:rsidRDefault="002D49D4" w:rsidP="002D49D4">
      <w:pPr>
        <w:pStyle w:val="PargrafodaLista"/>
        <w:numPr>
          <w:ilvl w:val="1"/>
          <w:numId w:val="1"/>
        </w:numPr>
        <w:spacing w:before="120" w:after="120" w:line="276" w:lineRule="auto"/>
        <w:ind w:left="-284" w:right="-994" w:firstLine="0"/>
        <w:jc w:val="both"/>
        <w:rPr>
          <w:rFonts w:cs="Arial"/>
          <w:color w:val="000000" w:themeColor="text1"/>
          <w:sz w:val="22"/>
          <w:szCs w:val="22"/>
        </w:rPr>
      </w:pPr>
      <w:r w:rsidRPr="009061C6">
        <w:rPr>
          <w:rFonts w:cs="Arial"/>
          <w:color w:val="000000" w:themeColor="text1"/>
          <w:sz w:val="22"/>
          <w:szCs w:val="22"/>
        </w:rPr>
        <w:t>Constatado o atendimento às exigências de habilitação, o fornecedor será habilitado</w:t>
      </w:r>
      <w:r>
        <w:rPr>
          <w:rFonts w:cs="Arial"/>
          <w:color w:val="000000" w:themeColor="text1"/>
          <w:sz w:val="22"/>
          <w:szCs w:val="22"/>
        </w:rPr>
        <w:t>.</w:t>
      </w:r>
    </w:p>
    <w:tbl>
      <w:tblPr>
        <w:tblStyle w:val="Tabelacomgrade"/>
        <w:tblW w:w="9782" w:type="dxa"/>
        <w:tblInd w:w="-289" w:type="dxa"/>
        <w:tblLook w:val="04A0" w:firstRow="1" w:lastRow="0" w:firstColumn="1" w:lastColumn="0" w:noHBand="0" w:noVBand="1"/>
      </w:tblPr>
      <w:tblGrid>
        <w:gridCol w:w="9782"/>
      </w:tblGrid>
      <w:tr w:rsidR="002D49D4" w14:paraId="2D36D858" w14:textId="77777777" w:rsidTr="008F1BEE">
        <w:tc>
          <w:tcPr>
            <w:tcW w:w="9782" w:type="dxa"/>
            <w:shd w:val="clear" w:color="auto" w:fill="FBE4D5" w:themeFill="accent2" w:themeFillTint="33"/>
          </w:tcPr>
          <w:p w14:paraId="6FABCF26" w14:textId="77777777" w:rsidR="002D49D4" w:rsidRPr="009E15D8" w:rsidRDefault="002D49D4" w:rsidP="008F1BEE">
            <w:pPr>
              <w:pStyle w:val="PargrafodaLista"/>
              <w:numPr>
                <w:ilvl w:val="0"/>
                <w:numId w:val="2"/>
              </w:numPr>
              <w:ind w:left="316"/>
              <w:jc w:val="both"/>
              <w:rPr>
                <w:b/>
                <w:bCs/>
                <w:sz w:val="22"/>
                <w:szCs w:val="22"/>
              </w:rPr>
            </w:pPr>
            <w:r>
              <w:rPr>
                <w:b/>
                <w:bCs/>
                <w:sz w:val="22"/>
                <w:szCs w:val="22"/>
              </w:rPr>
              <w:t xml:space="preserve">HABILITAÇÃO </w:t>
            </w:r>
            <w:r w:rsidRPr="009E15D8">
              <w:rPr>
                <w:b/>
                <w:bCs/>
                <w:sz w:val="22"/>
                <w:szCs w:val="22"/>
              </w:rPr>
              <w:t>FISCAL, SOCIAL E TRABALHISTA</w:t>
            </w:r>
          </w:p>
        </w:tc>
      </w:tr>
    </w:tbl>
    <w:p w14:paraId="2C168568" w14:textId="77777777" w:rsidR="002D49D4" w:rsidRPr="00CF2F20" w:rsidRDefault="002D49D4" w:rsidP="002D49D4">
      <w:pPr>
        <w:pStyle w:val="PargrafodaLista"/>
        <w:numPr>
          <w:ilvl w:val="1"/>
          <w:numId w:val="4"/>
        </w:numPr>
        <w:spacing w:after="120" w:line="276" w:lineRule="auto"/>
        <w:ind w:left="-284" w:right="-994" w:firstLine="0"/>
        <w:jc w:val="both"/>
        <w:rPr>
          <w:rFonts w:cs="Arial"/>
          <w:color w:val="000000" w:themeColor="text1"/>
          <w:sz w:val="22"/>
          <w:szCs w:val="22"/>
        </w:rPr>
      </w:pPr>
      <w:r w:rsidRPr="00CF2F20">
        <w:rPr>
          <w:rFonts w:cs="Arial"/>
          <w:color w:val="000000" w:themeColor="text1"/>
          <w:sz w:val="22"/>
          <w:szCs w:val="22"/>
        </w:rPr>
        <w:t>Prova de inscrição no Cadastro Nacional de Pessoas Jurídicas do Ministério da Fazenda (CNPJ);</w:t>
      </w:r>
    </w:p>
    <w:p w14:paraId="7708ADA9" w14:textId="77777777" w:rsidR="002D49D4" w:rsidRPr="00CF2F20"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sidRPr="00CF2F20">
        <w:rPr>
          <w:rFonts w:cs="Arial"/>
          <w:color w:val="000000" w:themeColor="text1"/>
          <w:sz w:val="22"/>
          <w:szCs w:val="22"/>
        </w:rPr>
        <w:lastRenderedPageBreak/>
        <w:t>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22FB2628"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Caso a empresa não possua comprovante junto ao Estado, deverá apresentar Certidão Narrativa ou documento que comprove a isenção;</w:t>
      </w:r>
    </w:p>
    <w:p w14:paraId="17F38674"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Para o caso de o documento não apresentar prazo de validade, estes deverão ser emitidos dentro do período de até 90 (noventa) dias.</w:t>
      </w:r>
    </w:p>
    <w:p w14:paraId="7479D346"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00AB1B0C"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perante o Fundo de Garantia por Tempo de Serviço – FGTS, emitido pela Caixa Econômica Federal, demonstrando situação regular no cumprimento dos encargos sociais instituídos por Lei;</w:t>
      </w:r>
    </w:p>
    <w:p w14:paraId="3F393D27"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Estadual, da sede da licitante.</w:t>
      </w:r>
    </w:p>
    <w:p w14:paraId="11EBD7F0"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para com a Fazenda Municipal, do domicílio ou sede da licitante.</w:t>
      </w:r>
    </w:p>
    <w:p w14:paraId="1FC7DE2B"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Prova de regularidade trabalhista através da apresentação de Certidão Negativa de Débitos Trabalhistas (CNDT), instituído pela Lei n° 12.440, de 07/07/2011, com validade na data do julgamento das propostas.</w:t>
      </w:r>
    </w:p>
    <w:p w14:paraId="51A2D224"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E648398"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 prorrogação do prazo previsto no item anterior deverá ser concedida pela Administração sempre que requerida pelo licitante, salvo na hipótese de urgência da contratação, devidamente justificada.</w:t>
      </w:r>
    </w:p>
    <w:p w14:paraId="21195A3A" w14:textId="77777777" w:rsidR="002D49D4" w:rsidRDefault="002D49D4" w:rsidP="002D49D4">
      <w:pPr>
        <w:pStyle w:val="PargrafodaLista"/>
        <w:numPr>
          <w:ilvl w:val="1"/>
          <w:numId w:val="4"/>
        </w:numPr>
        <w:spacing w:before="120" w:after="120" w:line="276" w:lineRule="auto"/>
        <w:ind w:left="-284" w:right="-994" w:firstLine="0"/>
        <w:jc w:val="both"/>
        <w:rPr>
          <w:rFonts w:cs="Arial"/>
          <w:color w:val="000000" w:themeColor="text1"/>
          <w:sz w:val="22"/>
          <w:szCs w:val="22"/>
        </w:rPr>
      </w:pPr>
      <w:r>
        <w:rPr>
          <w:rFonts w:cs="Arial"/>
          <w:color w:val="000000" w:themeColor="text1"/>
          <w:sz w:val="22"/>
          <w:szCs w:val="22"/>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tbl>
      <w:tblPr>
        <w:tblStyle w:val="Tabelacomgrade"/>
        <w:tblW w:w="9782" w:type="dxa"/>
        <w:tblInd w:w="-289" w:type="dxa"/>
        <w:tblLook w:val="04A0" w:firstRow="1" w:lastRow="0" w:firstColumn="1" w:lastColumn="0" w:noHBand="0" w:noVBand="1"/>
      </w:tblPr>
      <w:tblGrid>
        <w:gridCol w:w="9782"/>
      </w:tblGrid>
      <w:tr w:rsidR="002D49D4" w14:paraId="7CA521A9" w14:textId="77777777" w:rsidTr="008F1BEE">
        <w:tc>
          <w:tcPr>
            <w:tcW w:w="9782" w:type="dxa"/>
            <w:shd w:val="clear" w:color="auto" w:fill="FBE4D5" w:themeFill="accent2" w:themeFillTint="33"/>
          </w:tcPr>
          <w:p w14:paraId="64A72E39" w14:textId="77777777" w:rsidR="002D49D4" w:rsidRPr="00667097" w:rsidRDefault="002D49D4" w:rsidP="002D49D4">
            <w:pPr>
              <w:pStyle w:val="PargrafodaLista"/>
              <w:numPr>
                <w:ilvl w:val="0"/>
                <w:numId w:val="3"/>
              </w:numPr>
              <w:spacing w:line="276" w:lineRule="auto"/>
              <w:ind w:left="306"/>
              <w:jc w:val="both"/>
              <w:rPr>
                <w:rFonts w:cs="Arial"/>
                <w:b/>
                <w:bCs/>
                <w:color w:val="000000"/>
                <w:sz w:val="22"/>
                <w:szCs w:val="22"/>
              </w:rPr>
            </w:pPr>
            <w:r>
              <w:rPr>
                <w:rFonts w:cs="Arial"/>
                <w:b/>
                <w:bCs/>
                <w:color w:val="000000"/>
                <w:sz w:val="22"/>
                <w:szCs w:val="22"/>
              </w:rPr>
              <w:t>HABILITAÇÃO ECONÔMICO-FINANCEIRA</w:t>
            </w:r>
          </w:p>
        </w:tc>
      </w:tr>
    </w:tbl>
    <w:bookmarkEnd w:id="0"/>
    <w:p w14:paraId="6609523E" w14:textId="77777777" w:rsidR="002D49D4" w:rsidRPr="00CF2F20" w:rsidRDefault="002D49D4" w:rsidP="002D49D4">
      <w:pPr>
        <w:pStyle w:val="PargrafodaLista"/>
        <w:numPr>
          <w:ilvl w:val="1"/>
          <w:numId w:val="5"/>
        </w:numPr>
        <w:spacing w:after="120" w:line="276" w:lineRule="auto"/>
        <w:ind w:left="-284" w:right="-994" w:firstLine="0"/>
        <w:jc w:val="both"/>
        <w:rPr>
          <w:rFonts w:cs="Arial"/>
          <w:color w:val="000000" w:themeColor="text1"/>
          <w:sz w:val="22"/>
          <w:szCs w:val="22"/>
        </w:rPr>
      </w:pPr>
      <w:r w:rsidRPr="00CF2F20">
        <w:rPr>
          <w:rFonts w:cs="Arial"/>
          <w:sz w:val="22"/>
          <w:szCs w:val="22"/>
        </w:rPr>
        <w:t xml:space="preserve">Certidão negativa expedida pelo Cartório Distribuidor da sede da pessoa jurídica, </w:t>
      </w:r>
      <w:r w:rsidRPr="00CF2F20">
        <w:rPr>
          <w:rFonts w:cs="Arial"/>
          <w:b/>
          <w:bCs/>
          <w:sz w:val="22"/>
          <w:szCs w:val="22"/>
        </w:rPr>
        <w:t>(Falência e Concordata)</w:t>
      </w:r>
      <w:r w:rsidRPr="00CF2F20">
        <w:rPr>
          <w:rFonts w:cs="Arial"/>
          <w:sz w:val="22"/>
          <w:szCs w:val="22"/>
        </w:rPr>
        <w:t xml:space="preserve"> com data não superior a 180 (cento e oitenta) dias, da data limite para recebimento das propostas, se outro prazo não constar no documento</w:t>
      </w:r>
      <w:r w:rsidRPr="00CF2F20">
        <w:rPr>
          <w:rFonts w:cs="Arial"/>
          <w:color w:val="000000" w:themeColor="text1"/>
          <w:sz w:val="22"/>
          <w:szCs w:val="22"/>
        </w:rPr>
        <w:t>;</w:t>
      </w:r>
    </w:p>
    <w:p w14:paraId="0EA50C7D" w14:textId="290D2F54" w:rsidR="002D49D4" w:rsidRPr="00CF2F20" w:rsidRDefault="002D49D4" w:rsidP="002D49D4">
      <w:pPr>
        <w:pStyle w:val="PargrafodaLista"/>
        <w:numPr>
          <w:ilvl w:val="1"/>
          <w:numId w:val="5"/>
        </w:numPr>
        <w:spacing w:before="120" w:after="120" w:line="276" w:lineRule="auto"/>
        <w:ind w:left="-284" w:right="-994" w:firstLine="0"/>
        <w:jc w:val="both"/>
        <w:rPr>
          <w:rFonts w:cs="Arial"/>
          <w:color w:val="000000" w:themeColor="text1"/>
          <w:sz w:val="22"/>
          <w:szCs w:val="22"/>
        </w:rPr>
      </w:pPr>
      <w:r w:rsidRPr="00CF2F20">
        <w:rPr>
          <w:rFonts w:cs="Arial"/>
          <w:sz w:val="22"/>
          <w:szCs w:val="22"/>
        </w:rPr>
        <w:t xml:space="preserve">Declaração de inexistência de fato impeditivo, não utilização de mão de obra de menores, declaração de atendimento à logística reversa dos produtos, declaração de reserva de cargos e declaração de atendimento ao §1° do art. 63 da lei Federal N° 14.133/2021 </w:t>
      </w:r>
      <w:r w:rsidRPr="00CF2F20">
        <w:rPr>
          <w:rFonts w:cs="Arial"/>
          <w:b/>
          <w:bCs/>
          <w:sz w:val="22"/>
          <w:szCs w:val="22"/>
        </w:rPr>
        <w:t xml:space="preserve">(anexo </w:t>
      </w:r>
      <w:r>
        <w:rPr>
          <w:rFonts w:cs="Arial"/>
          <w:b/>
          <w:bCs/>
          <w:sz w:val="22"/>
          <w:szCs w:val="22"/>
        </w:rPr>
        <w:t>VII</w:t>
      </w:r>
      <w:r w:rsidRPr="00CF2F20">
        <w:rPr>
          <w:rFonts w:cs="Arial"/>
          <w:b/>
          <w:bCs/>
          <w:sz w:val="22"/>
          <w:szCs w:val="22"/>
        </w:rPr>
        <w:t>).</w:t>
      </w:r>
    </w:p>
    <w:p w14:paraId="6CDCC377" w14:textId="77777777" w:rsidR="002D49D4" w:rsidRPr="00944B0D" w:rsidRDefault="002D49D4" w:rsidP="002D49D4">
      <w:pPr>
        <w:pStyle w:val="PargrafodaLista"/>
        <w:numPr>
          <w:ilvl w:val="1"/>
          <w:numId w:val="5"/>
        </w:numPr>
        <w:spacing w:before="120" w:after="120" w:line="276" w:lineRule="auto"/>
        <w:ind w:left="-284" w:right="-994" w:firstLine="0"/>
        <w:jc w:val="both"/>
        <w:rPr>
          <w:rFonts w:cs="Arial"/>
          <w:color w:val="000000" w:themeColor="text1"/>
          <w:sz w:val="22"/>
          <w:szCs w:val="22"/>
        </w:rPr>
      </w:pPr>
      <w:r>
        <w:rPr>
          <w:rFonts w:cs="Arial"/>
          <w:sz w:val="22"/>
          <w:szCs w:val="22"/>
        </w:rPr>
        <w:t xml:space="preserve">Se for o caso, a empresa deverá apresentar </w:t>
      </w:r>
      <w:r w:rsidRPr="00944B0D">
        <w:rPr>
          <w:rFonts w:cs="Arial"/>
          <w:sz w:val="22"/>
          <w:szCs w:val="22"/>
        </w:rPr>
        <w:t>comprovante da condição de ME/EPP</w:t>
      </w:r>
      <w:r w:rsidRPr="00944B0D">
        <w:rPr>
          <w:rFonts w:cs="Arial"/>
          <w:color w:val="000000" w:themeColor="text1"/>
          <w:sz w:val="22"/>
          <w:szCs w:val="22"/>
        </w:rPr>
        <w:t>;</w:t>
      </w:r>
    </w:p>
    <w:p w14:paraId="6C43A4F0" w14:textId="79DD629C" w:rsidR="002D49D4" w:rsidRDefault="002D49D4" w:rsidP="002D49D4">
      <w:pPr>
        <w:pStyle w:val="PargrafodaLista"/>
        <w:numPr>
          <w:ilvl w:val="1"/>
          <w:numId w:val="5"/>
        </w:numPr>
        <w:spacing w:before="120" w:after="120" w:line="276" w:lineRule="auto"/>
        <w:ind w:left="-284" w:right="-994" w:firstLine="0"/>
        <w:jc w:val="both"/>
        <w:rPr>
          <w:rFonts w:cs="Arial"/>
          <w:color w:val="000000" w:themeColor="text1"/>
          <w:sz w:val="22"/>
          <w:szCs w:val="22"/>
        </w:rPr>
      </w:pPr>
      <w:r>
        <w:rPr>
          <w:rFonts w:cs="Arial"/>
          <w:sz w:val="22"/>
          <w:szCs w:val="22"/>
        </w:rPr>
        <w:t xml:space="preserve">Declaração escrita sob as penas da lei, de que cumpre os requisitos legais de qualificação da condição de microempresa, de empresa de pequeno porte ou microempreendedor individual, </w:t>
      </w:r>
      <w:r>
        <w:rPr>
          <w:rFonts w:cs="Arial"/>
          <w:sz w:val="22"/>
          <w:szCs w:val="22"/>
        </w:rPr>
        <w:lastRenderedPageBreak/>
        <w:t>estando apto a usufruir dos benefícios previstos nos art</w:t>
      </w:r>
      <w:r w:rsidRPr="00120562">
        <w:rPr>
          <w:rFonts w:cs="Arial"/>
          <w:color w:val="000000" w:themeColor="text1"/>
          <w:sz w:val="22"/>
          <w:szCs w:val="22"/>
        </w:rPr>
        <w:t>.</w:t>
      </w:r>
      <w:r>
        <w:rPr>
          <w:rFonts w:cs="Arial"/>
          <w:color w:val="000000" w:themeColor="text1"/>
          <w:sz w:val="22"/>
          <w:szCs w:val="22"/>
        </w:rPr>
        <w:t xml:space="preserve"> 42 a art. 49 da Lei Complementar Federal n° 123, de 2006 </w:t>
      </w:r>
      <w:r w:rsidRPr="009D4E0D">
        <w:rPr>
          <w:rFonts w:cs="Arial"/>
          <w:b/>
          <w:bCs/>
          <w:color w:val="000000" w:themeColor="text1"/>
          <w:sz w:val="22"/>
          <w:szCs w:val="22"/>
        </w:rPr>
        <w:t xml:space="preserve">(anexo </w:t>
      </w:r>
      <w:r>
        <w:rPr>
          <w:rFonts w:cs="Arial"/>
          <w:b/>
          <w:bCs/>
          <w:color w:val="000000" w:themeColor="text1"/>
          <w:sz w:val="22"/>
          <w:szCs w:val="22"/>
        </w:rPr>
        <w:t>VII</w:t>
      </w:r>
      <w:r w:rsidRPr="009D4E0D">
        <w:rPr>
          <w:rFonts w:cs="Arial"/>
          <w:b/>
          <w:bCs/>
          <w:color w:val="000000" w:themeColor="text1"/>
          <w:sz w:val="22"/>
          <w:szCs w:val="22"/>
        </w:rPr>
        <w:t>).</w:t>
      </w:r>
    </w:p>
    <w:p w14:paraId="7A1B7D00" w14:textId="3D1CE43F" w:rsidR="002D49D4" w:rsidRPr="00E553E4" w:rsidRDefault="002D49D4" w:rsidP="002D49D4">
      <w:pPr>
        <w:pStyle w:val="PargrafodaLista"/>
        <w:numPr>
          <w:ilvl w:val="1"/>
          <w:numId w:val="5"/>
        </w:numPr>
        <w:spacing w:before="120" w:after="120" w:line="276" w:lineRule="auto"/>
        <w:ind w:left="-284" w:right="-994" w:firstLine="0"/>
        <w:jc w:val="both"/>
        <w:rPr>
          <w:rFonts w:cs="Arial"/>
          <w:color w:val="000000" w:themeColor="text1"/>
          <w:sz w:val="22"/>
          <w:szCs w:val="22"/>
        </w:rPr>
      </w:pPr>
      <w:r w:rsidRPr="00944B0D">
        <w:rPr>
          <w:rFonts w:cs="Arial"/>
          <w:b/>
          <w:bCs/>
          <w:sz w:val="22"/>
          <w:szCs w:val="22"/>
        </w:rPr>
        <w:t>A proponente vencedora deverá apresentar ainda a Declaração Unificada constante no</w:t>
      </w:r>
      <w:r>
        <w:rPr>
          <w:rFonts w:cs="Arial"/>
          <w:sz w:val="22"/>
          <w:szCs w:val="22"/>
        </w:rPr>
        <w:t xml:space="preserve"> </w:t>
      </w:r>
      <w:r w:rsidRPr="002D7E02">
        <w:rPr>
          <w:rFonts w:cs="Arial"/>
          <w:b/>
          <w:bCs/>
          <w:sz w:val="22"/>
          <w:szCs w:val="22"/>
        </w:rPr>
        <w:t>(anexo V</w:t>
      </w:r>
      <w:r>
        <w:rPr>
          <w:rFonts w:cs="Arial"/>
          <w:b/>
          <w:bCs/>
          <w:sz w:val="22"/>
          <w:szCs w:val="22"/>
        </w:rPr>
        <w:t>II</w:t>
      </w:r>
      <w:r w:rsidRPr="002D7E02">
        <w:rPr>
          <w:rFonts w:cs="Arial"/>
          <w:b/>
          <w:bCs/>
          <w:sz w:val="22"/>
          <w:szCs w:val="22"/>
        </w:rPr>
        <w:t>)</w:t>
      </w:r>
      <w:r>
        <w:rPr>
          <w:rFonts w:cs="Arial"/>
          <w:sz w:val="22"/>
          <w:szCs w:val="22"/>
        </w:rPr>
        <w:t>.</w:t>
      </w:r>
    </w:p>
    <w:p w14:paraId="0B9765E9" w14:textId="77777777" w:rsidR="002D49D4" w:rsidRDefault="002D49D4" w:rsidP="002D49D4"/>
    <w:p w14:paraId="4A2D4754" w14:textId="77777777" w:rsidR="002D49D4" w:rsidRDefault="002D49D4" w:rsidP="002D49D4"/>
    <w:p w14:paraId="346B9673" w14:textId="77777777" w:rsidR="00DA76CE" w:rsidRDefault="00DA76CE"/>
    <w:sectPr w:rsidR="00DA76CE" w:rsidSect="002D49D4">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4A82D0" w14:textId="77777777" w:rsidR="000C4D13" w:rsidRDefault="000C4D13">
      <w:r>
        <w:separator/>
      </w:r>
    </w:p>
  </w:endnote>
  <w:endnote w:type="continuationSeparator" w:id="0">
    <w:p w14:paraId="5A6CDC79" w14:textId="77777777" w:rsidR="000C4D13" w:rsidRDefault="000C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F50640" w14:textId="77777777" w:rsidR="000C4D13" w:rsidRDefault="000C4D13">
      <w:r>
        <w:separator/>
      </w:r>
    </w:p>
  </w:footnote>
  <w:footnote w:type="continuationSeparator" w:id="0">
    <w:p w14:paraId="179437A8" w14:textId="77777777" w:rsidR="000C4D13" w:rsidRDefault="000C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63762" w14:textId="77777777" w:rsidR="00B633E6" w:rsidRDefault="00000000" w:rsidP="00ED43F9">
    <w:pPr>
      <w:spacing w:line="276" w:lineRule="auto"/>
      <w:ind w:left="-709"/>
      <w:jc w:val="center"/>
      <w:rPr>
        <w:rFonts w:cs="Arial"/>
        <w:b/>
        <w:bCs/>
        <w:szCs w:val="20"/>
      </w:rPr>
    </w:pPr>
    <w:r>
      <w:rPr>
        <w:rFonts w:cs="Arial"/>
        <w:b/>
        <w:bCs/>
        <w:noProof/>
        <w:szCs w:val="20"/>
      </w:rPr>
      <w:drawing>
        <wp:inline distT="0" distB="0" distL="0" distR="0" wp14:anchorId="0BEFCA71" wp14:editId="0935F937">
          <wp:extent cx="3133725" cy="835390"/>
          <wp:effectExtent l="0" t="0" r="0" b="3175"/>
          <wp:docPr id="1898605579" name="Imagem 1898605579"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33725" cy="835390"/>
                  </a:xfrm>
                  <a:prstGeom prst="rect">
                    <a:avLst/>
                  </a:prstGeom>
                </pic:spPr>
              </pic:pic>
            </a:graphicData>
          </a:graphic>
        </wp:inline>
      </w:drawing>
    </w:r>
  </w:p>
  <w:p w14:paraId="5D578A95" w14:textId="77777777" w:rsidR="00B633E6" w:rsidRPr="00B70A49" w:rsidRDefault="00000000" w:rsidP="00ED43F9">
    <w:pPr>
      <w:spacing w:line="276" w:lineRule="auto"/>
      <w:jc w:val="center"/>
      <w:rPr>
        <w:rFonts w:cs="Arial"/>
        <w:b/>
        <w:bCs/>
        <w:sz w:val="16"/>
        <w:szCs w:val="16"/>
      </w:rPr>
    </w:pPr>
    <w:r w:rsidRPr="00B70A49">
      <w:rPr>
        <w:rFonts w:cs="Arial"/>
        <w:b/>
        <w:bCs/>
        <w:sz w:val="16"/>
        <w:szCs w:val="16"/>
      </w:rPr>
      <w:t>Prefeitura M</w:t>
    </w:r>
    <w:r>
      <w:rPr>
        <w:rFonts w:cs="Arial"/>
        <w:b/>
        <w:bCs/>
        <w:sz w:val="16"/>
        <w:szCs w:val="16"/>
      </w:rPr>
      <w:t>unicipal</w:t>
    </w:r>
    <w:r w:rsidRPr="00B70A49">
      <w:rPr>
        <w:rFonts w:cs="Arial"/>
        <w:b/>
        <w:bCs/>
        <w:sz w:val="16"/>
        <w:szCs w:val="16"/>
      </w:rPr>
      <w:t xml:space="preserve"> de Vera Cruz do Oeste – Pr, CNPJ: 78.101.821/0001-01</w:t>
    </w:r>
  </w:p>
  <w:p w14:paraId="026C6A1F" w14:textId="77777777" w:rsidR="00B633E6" w:rsidRDefault="00000000" w:rsidP="00ED43F9">
    <w:pPr>
      <w:spacing w:line="276" w:lineRule="auto"/>
      <w:ind w:left="-709"/>
      <w:jc w:val="center"/>
      <w:rPr>
        <w:rFonts w:cs="Arial"/>
        <w:b/>
        <w:bCs/>
        <w:sz w:val="16"/>
        <w:szCs w:val="16"/>
      </w:rPr>
    </w:pPr>
    <w:r>
      <w:rPr>
        <w:rFonts w:cs="Arial"/>
        <w:b/>
        <w:bCs/>
        <w:sz w:val="16"/>
        <w:szCs w:val="16"/>
      </w:rPr>
      <w:t xml:space="preserve">                </w:t>
    </w:r>
    <w:r w:rsidRPr="00B70A49">
      <w:rPr>
        <w:rFonts w:cs="Arial"/>
        <w:b/>
        <w:bCs/>
        <w:sz w:val="16"/>
        <w:szCs w:val="16"/>
      </w:rPr>
      <w:t>Rua Rui Barbosa, 202 – centro, CEP: 85845-000, 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6353"/>
    <w:multiLevelType w:val="multilevel"/>
    <w:tmpl w:val="D772D212"/>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499D5787"/>
    <w:multiLevelType w:val="multilevel"/>
    <w:tmpl w:val="4B820F48"/>
    <w:lvl w:ilvl="0">
      <w:start w:val="3"/>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b/>
        <w:bCs/>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2160" w:hanging="108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3240" w:hanging="144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4320" w:hanging="1800"/>
      </w:pPr>
      <w:rPr>
        <w:rFonts w:hint="default"/>
        <w:color w:val="auto"/>
      </w:rPr>
    </w:lvl>
    <w:lvl w:ilvl="8">
      <w:start w:val="1"/>
      <w:numFmt w:val="decimal"/>
      <w:lvlText w:val="%1.%2.%3.%4.%5.%6.%7.%8.%9."/>
      <w:lvlJc w:val="left"/>
      <w:pPr>
        <w:ind w:left="4680" w:hanging="1800"/>
      </w:pPr>
      <w:rPr>
        <w:rFonts w:hint="default"/>
        <w:color w:val="auto"/>
      </w:rPr>
    </w:lvl>
  </w:abstractNum>
  <w:abstractNum w:abstractNumId="2" w15:restartNumberingAfterBreak="0">
    <w:nsid w:val="4D5B727F"/>
    <w:multiLevelType w:val="multilevel"/>
    <w:tmpl w:val="9F261C6E"/>
    <w:lvl w:ilvl="0">
      <w:start w:val="3"/>
      <w:numFmt w:val="decimal"/>
      <w:lvlText w:val="%1"/>
      <w:lvlJc w:val="left"/>
      <w:pPr>
        <w:ind w:left="360" w:hanging="360"/>
      </w:pPr>
      <w:rPr>
        <w:rFonts w:cs="Tahoma" w:hint="default"/>
        <w:color w:val="auto"/>
      </w:rPr>
    </w:lvl>
    <w:lvl w:ilvl="1">
      <w:start w:val="1"/>
      <w:numFmt w:val="decimal"/>
      <w:lvlText w:val="%1.%2"/>
      <w:lvlJc w:val="left"/>
      <w:pPr>
        <w:ind w:left="1440" w:hanging="360"/>
      </w:pPr>
      <w:rPr>
        <w:rFonts w:cs="Tahoma" w:hint="default"/>
        <w:b/>
        <w:bCs/>
        <w:color w:val="auto"/>
      </w:rPr>
    </w:lvl>
    <w:lvl w:ilvl="2">
      <w:start w:val="1"/>
      <w:numFmt w:val="decimal"/>
      <w:lvlText w:val="%1.%2.%3"/>
      <w:lvlJc w:val="left"/>
      <w:pPr>
        <w:ind w:left="2880" w:hanging="720"/>
      </w:pPr>
      <w:rPr>
        <w:rFonts w:cs="Tahoma" w:hint="default"/>
        <w:color w:val="auto"/>
      </w:rPr>
    </w:lvl>
    <w:lvl w:ilvl="3">
      <w:start w:val="1"/>
      <w:numFmt w:val="decimal"/>
      <w:lvlText w:val="%1.%2.%3.%4"/>
      <w:lvlJc w:val="left"/>
      <w:pPr>
        <w:ind w:left="3960" w:hanging="720"/>
      </w:pPr>
      <w:rPr>
        <w:rFonts w:cs="Tahoma" w:hint="default"/>
        <w:color w:val="auto"/>
      </w:rPr>
    </w:lvl>
    <w:lvl w:ilvl="4">
      <w:start w:val="1"/>
      <w:numFmt w:val="decimal"/>
      <w:lvlText w:val="%1.%2.%3.%4.%5"/>
      <w:lvlJc w:val="left"/>
      <w:pPr>
        <w:ind w:left="5400" w:hanging="1080"/>
      </w:pPr>
      <w:rPr>
        <w:rFonts w:cs="Tahoma" w:hint="default"/>
        <w:color w:val="auto"/>
      </w:rPr>
    </w:lvl>
    <w:lvl w:ilvl="5">
      <w:start w:val="1"/>
      <w:numFmt w:val="decimal"/>
      <w:lvlText w:val="%1.%2.%3.%4.%5.%6"/>
      <w:lvlJc w:val="left"/>
      <w:pPr>
        <w:ind w:left="6480" w:hanging="1080"/>
      </w:pPr>
      <w:rPr>
        <w:rFonts w:cs="Tahoma" w:hint="default"/>
        <w:color w:val="auto"/>
      </w:rPr>
    </w:lvl>
    <w:lvl w:ilvl="6">
      <w:start w:val="1"/>
      <w:numFmt w:val="decimal"/>
      <w:lvlText w:val="%1.%2.%3.%4.%5.%6.%7"/>
      <w:lvlJc w:val="left"/>
      <w:pPr>
        <w:ind w:left="7920" w:hanging="1440"/>
      </w:pPr>
      <w:rPr>
        <w:rFonts w:cs="Tahoma" w:hint="default"/>
        <w:color w:val="auto"/>
      </w:rPr>
    </w:lvl>
    <w:lvl w:ilvl="7">
      <w:start w:val="1"/>
      <w:numFmt w:val="decimal"/>
      <w:lvlText w:val="%1.%2.%3.%4.%5.%6.%7.%8"/>
      <w:lvlJc w:val="left"/>
      <w:pPr>
        <w:ind w:left="9000" w:hanging="1440"/>
      </w:pPr>
      <w:rPr>
        <w:rFonts w:cs="Tahoma" w:hint="default"/>
        <w:color w:val="auto"/>
      </w:rPr>
    </w:lvl>
    <w:lvl w:ilvl="8">
      <w:start w:val="1"/>
      <w:numFmt w:val="decimal"/>
      <w:lvlText w:val="%1.%2.%3.%4.%5.%6.%7.%8.%9"/>
      <w:lvlJc w:val="left"/>
      <w:pPr>
        <w:ind w:left="10440" w:hanging="1800"/>
      </w:pPr>
      <w:rPr>
        <w:rFonts w:cs="Tahoma" w:hint="default"/>
        <w:color w:val="auto"/>
      </w:rPr>
    </w:lvl>
  </w:abstractNum>
  <w:abstractNum w:abstractNumId="3" w15:restartNumberingAfterBreak="0">
    <w:nsid w:val="624B1971"/>
    <w:multiLevelType w:val="hybridMultilevel"/>
    <w:tmpl w:val="A85EB714"/>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53F6489"/>
    <w:multiLevelType w:val="multilevel"/>
    <w:tmpl w:val="D0CCC694"/>
    <w:lvl w:ilvl="0">
      <w:start w:val="1"/>
      <w:numFmt w:val="decimal"/>
      <w:lvlText w:val="%1"/>
      <w:lvlJc w:val="left"/>
      <w:pPr>
        <w:ind w:left="360" w:hanging="360"/>
      </w:pPr>
      <w:rPr>
        <w:rFonts w:hint="default"/>
        <w:b/>
        <w:bCs/>
      </w:rPr>
    </w:lvl>
    <w:lvl w:ilvl="1">
      <w:start w:val="1"/>
      <w:numFmt w:val="decimal"/>
      <w:lvlText w:val="%1.%2"/>
      <w:lvlJc w:val="left"/>
      <w:pPr>
        <w:ind w:left="928" w:hanging="360"/>
      </w:pPr>
      <w:rPr>
        <w:rFonts w:hint="default"/>
        <w:b/>
        <w:bCs/>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962104634">
    <w:abstractNumId w:val="4"/>
  </w:num>
  <w:num w:numId="2" w16cid:durableId="1562709021">
    <w:abstractNumId w:val="3"/>
  </w:num>
  <w:num w:numId="3" w16cid:durableId="122844081">
    <w:abstractNumId w:val="2"/>
  </w:num>
  <w:num w:numId="4" w16cid:durableId="1487698052">
    <w:abstractNumId w:val="0"/>
  </w:num>
  <w:num w:numId="5" w16cid:durableId="2512095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htYUCsmKKrjiXFLtr4qT7teZS8KKT1IXoH9mNT5URfBjqzsYN9c0e9YE3KLuxIBLyhadx05PsgLqMPQiEmDhOQ==" w:salt="qWx65EIeKNmqV5RT3mX7B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9D4"/>
    <w:rsid w:val="000C4D13"/>
    <w:rsid w:val="00192ABC"/>
    <w:rsid w:val="002D49D4"/>
    <w:rsid w:val="00344EE9"/>
    <w:rsid w:val="004A3FEA"/>
    <w:rsid w:val="009572D4"/>
    <w:rsid w:val="00B633E6"/>
    <w:rsid w:val="00BF190A"/>
    <w:rsid w:val="00DA76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96ABE"/>
  <w15:chartTrackingRefBased/>
  <w15:docId w15:val="{B4A9B9F5-169F-45D5-A9BA-DAF9F039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9D4"/>
    <w:pPr>
      <w:spacing w:after="0" w:line="240" w:lineRule="auto"/>
    </w:pPr>
    <w:rPr>
      <w:rFonts w:ascii="Arial" w:eastAsia="Times New Roman" w:hAnsi="Arial" w:cs="Tahoma"/>
      <w:kern w:val="0"/>
      <w:sz w:val="20"/>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2D49D4"/>
    <w:pPr>
      <w:ind w:left="720"/>
      <w:contextualSpacing/>
    </w:pPr>
  </w:style>
  <w:style w:type="character" w:styleId="Hyperlink">
    <w:name w:val="Hyperlink"/>
    <w:rsid w:val="002D49D4"/>
    <w:rPr>
      <w:color w:val="000080"/>
      <w:u w:val="single"/>
    </w:rPr>
  </w:style>
  <w:style w:type="table" w:styleId="Tabelacomgrade">
    <w:name w:val="Table Grid"/>
    <w:basedOn w:val="Tabelanormal"/>
    <w:rsid w:val="002D49D4"/>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ntas.tcu.gov.br/ords/f?p=704144:3:12249879529814::NO:3,4,6" TargetMode="External"/><Relationship Id="rId3" Type="http://schemas.openxmlformats.org/officeDocument/2006/relationships/settings" Target="settings.xml"/><Relationship Id="rId7" Type="http://schemas.openxmlformats.org/officeDocument/2006/relationships/hyperlink" Target="http://www.cnj.jus.br/improbidade_adm/consultar_requerido.ph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1530</Words>
  <Characters>8267</Characters>
  <Application>Microsoft Office Word</Application>
  <DocSecurity>8</DocSecurity>
  <Lines>68</Lines>
  <Paragraphs>19</Paragraphs>
  <ScaleCrop>false</ScaleCrop>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Rosangela Romano</dc:creator>
  <cp:keywords/>
  <dc:description/>
  <cp:lastModifiedBy>User</cp:lastModifiedBy>
  <cp:revision>3</cp:revision>
  <dcterms:created xsi:type="dcterms:W3CDTF">2024-07-12T18:10:00Z</dcterms:created>
  <dcterms:modified xsi:type="dcterms:W3CDTF">2024-07-16T14:03:00Z</dcterms:modified>
</cp:coreProperties>
</file>